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36B6" w:rsidRPr="00CB36B6" w:rsidRDefault="00CB36B6" w:rsidP="00CB36B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B36B6">
        <w:rPr>
          <w:b/>
          <w:bCs/>
          <w:color w:val="333333"/>
          <w:sz w:val="28"/>
          <w:szCs w:val="28"/>
        </w:rPr>
        <w:t>Новое в законодательстве о выборах</w:t>
      </w:r>
    </w:p>
    <w:bookmarkEnd w:id="0"/>
    <w:p w:rsidR="00CB36B6" w:rsidRPr="00CB36B6" w:rsidRDefault="00CB36B6" w:rsidP="00CB36B6">
      <w:pPr>
        <w:shd w:val="clear" w:color="auto" w:fill="FFFFFF"/>
        <w:contextualSpacing/>
        <w:rPr>
          <w:color w:val="000000"/>
          <w:sz w:val="28"/>
          <w:szCs w:val="28"/>
        </w:rPr>
      </w:pPr>
      <w:r w:rsidRPr="00CB36B6">
        <w:rPr>
          <w:color w:val="000000"/>
          <w:sz w:val="28"/>
          <w:szCs w:val="28"/>
        </w:rPr>
        <w:t> </w:t>
      </w:r>
      <w:r w:rsidRPr="00CB36B6">
        <w:rPr>
          <w:color w:val="FFFFFF"/>
          <w:sz w:val="28"/>
          <w:szCs w:val="28"/>
        </w:rPr>
        <w:t>Текст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Федеральным законом от 29.05.2023 № 184-ФЗ внесены изменения в отдельные законодательные акты Российской Федерации, в том числе в Федеральный закон от 12.06.2002 № 67-ФЗ «Об основных гарантиях избирательных прав и права на участие в референдуме граждан Российской Федерации».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В целях реализации избирательных прав и права на участие в референдуме для лиц, находящихся в местах содержания под стражей подозреваемых и обвиняемых за пределами их избирательного округа, округа референдума, предусматривается возможность формирования специальных (экстерриториальных) участковых комиссий.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Закрепляется обязанность зарегистрированного кандидата в случае появления у него судимости представить в зарегистрировавшую его избирательную комиссию сведения об указанной судимости в письменной форме.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Также совершенствуются нормы, касающиеся правил</w:t>
      </w:r>
      <w:r w:rsidRPr="00CB36B6">
        <w:rPr>
          <w:color w:val="333333"/>
          <w:sz w:val="28"/>
          <w:szCs w:val="28"/>
        </w:rPr>
        <w:br/>
        <w:t>проведения агитации.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Закрепляется, что агитационные материалы, в том числе предвыборные программы кандидатов, не должны содержать в себе не только призывы к совершению действий, подпадающих под признаки экстремизма, но и по своему собственному содержанию не должны подпадать под иные признаки экстремизма. Помимо этого, также закрепляется запрет агитации на заблокированных ресурсах в сети Интернет.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В целях оптимизации избирательных процессов</w:t>
      </w:r>
      <w:r w:rsidRPr="00CB36B6">
        <w:rPr>
          <w:color w:val="333333"/>
          <w:sz w:val="28"/>
          <w:szCs w:val="28"/>
        </w:rPr>
        <w:br/>
        <w:t>предусматривается проведение досрочных, повторных и дополнительных выборов глав муниципальных образований и выборов в органы местного самоуправления вновь образованных муниципальных образований в единый день голосования.</w:t>
      </w:r>
    </w:p>
    <w:p w:rsidR="00F029A4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816C7E" w:rsidRDefault="00CB36B6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7C1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17EB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2023-06-09T08:13:00Z</dcterms:created>
  <dcterms:modified xsi:type="dcterms:W3CDTF">2023-06-09T08:13:00Z</dcterms:modified>
</cp:coreProperties>
</file>